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848" w:rsidRPr="001E0125" w:rsidRDefault="00C507F5" w:rsidP="00935848">
      <w:pPr>
        <w:spacing w:after="0" w:afterAutospacing="0"/>
        <w:ind w:left="-360" w:firstLine="1068"/>
        <w:jc w:val="left"/>
        <w:rPr>
          <w:rFonts w:eastAsia="Calibri"/>
          <w:b/>
          <w:color w:val="FF0000"/>
          <w:sz w:val="16"/>
          <w:szCs w:val="16"/>
        </w:rPr>
      </w:pPr>
      <w:r w:rsidRPr="001E0125">
        <w:rPr>
          <w:rFonts w:eastAsia="Calibri"/>
          <w:b/>
          <w:noProof/>
          <w:color w:val="FF0000"/>
          <w:sz w:val="36"/>
          <w:szCs w:val="36"/>
          <w:lang w:eastAsia="es-ES"/>
        </w:rPr>
        <w:drawing>
          <wp:anchor distT="0" distB="0" distL="114300" distR="114300" simplePos="0" relativeHeight="251658752" behindDoc="0" locked="0" layoutInCell="1" allowOverlap="1">
            <wp:simplePos x="0" y="0"/>
            <wp:positionH relativeFrom="page">
              <wp:posOffset>5544185</wp:posOffset>
            </wp:positionH>
            <wp:positionV relativeFrom="page">
              <wp:posOffset>732790</wp:posOffset>
            </wp:positionV>
            <wp:extent cx="793115" cy="335915"/>
            <wp:effectExtent l="19050" t="0" r="6985"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793115" cy="335915"/>
                    </a:xfrm>
                    <a:prstGeom prst="rect">
                      <a:avLst/>
                    </a:prstGeom>
                    <a:noFill/>
                    <a:ln w="12700" cap="flat">
                      <a:noFill/>
                      <a:miter lim="800000"/>
                      <a:headEnd/>
                      <a:tailEnd/>
                    </a:ln>
                  </pic:spPr>
                </pic:pic>
              </a:graphicData>
            </a:graphic>
          </wp:anchor>
        </w:drawing>
      </w:r>
      <w:r w:rsidRPr="001E0125">
        <w:rPr>
          <w:rFonts w:eastAsia="Calibri"/>
          <w:b/>
          <w:color w:val="FF0000"/>
          <w:sz w:val="36"/>
          <w:szCs w:val="36"/>
          <w:lang w:val="en-US"/>
        </w:rPr>
        <w:tab/>
      </w:r>
      <w:r w:rsidRPr="001E0125">
        <w:rPr>
          <w:rFonts w:eastAsia="Calibri"/>
          <w:b/>
          <w:color w:val="FF0000"/>
          <w:sz w:val="36"/>
          <w:szCs w:val="36"/>
          <w:lang w:val="en-US"/>
        </w:rPr>
        <w:tab/>
      </w:r>
      <w:r w:rsidRPr="001E0125">
        <w:rPr>
          <w:rFonts w:eastAsia="Calibri"/>
          <w:b/>
          <w:color w:val="FF0000"/>
          <w:sz w:val="36"/>
          <w:szCs w:val="36"/>
          <w:lang w:val="en-US"/>
        </w:rPr>
        <w:tab/>
      </w:r>
      <w:r w:rsidRPr="001E0125">
        <w:rPr>
          <w:rFonts w:eastAsia="Calibri"/>
          <w:b/>
          <w:color w:val="FF0000"/>
          <w:sz w:val="36"/>
          <w:szCs w:val="36"/>
          <w:lang w:val="en-US"/>
        </w:rPr>
        <w:tab/>
      </w:r>
      <w:r w:rsidRPr="001E0125">
        <w:rPr>
          <w:rFonts w:eastAsia="Calibri"/>
          <w:b/>
          <w:color w:val="FF0000"/>
          <w:sz w:val="36"/>
          <w:szCs w:val="36"/>
          <w:lang w:val="en-US"/>
        </w:rPr>
        <w:tab/>
      </w:r>
    </w:p>
    <w:p w:rsidR="00935848" w:rsidRPr="001E0125" w:rsidRDefault="00935848" w:rsidP="00935848">
      <w:pPr>
        <w:ind w:left="0" w:firstLine="29"/>
        <w:rPr>
          <w:color w:val="FF0000"/>
          <w:lang w:val="en-GB"/>
        </w:rPr>
      </w:pPr>
    </w:p>
    <w:p w:rsidR="00935848" w:rsidRPr="00935848" w:rsidRDefault="00FF11D0" w:rsidP="00B365B1">
      <w:pPr>
        <w:spacing w:after="160" w:afterAutospacing="0" w:line="259" w:lineRule="auto"/>
        <w:ind w:left="0" w:firstLine="0"/>
        <w:jc w:val="left"/>
        <w:rPr>
          <w:b/>
          <w:lang w:val="en-GB"/>
        </w:rPr>
      </w:pPr>
      <w:r>
        <w:rPr>
          <w:noProof/>
          <w:lang w:eastAsia="es-ES"/>
        </w:rPr>
        <w:pict w14:anchorId="572CA7BB">
          <v:shapetype id="_x0000_t202" coordsize="21600,21600" o:spt="202" path="m,l,21600r21600,l21600,xe">
            <v:stroke joinstyle="miter"/>
            <v:path gradientshapeok="t" o:connecttype="rect"/>
          </v:shapetype>
          <v:shape id="_x0000_s1027" type="#_x0000_t202" style="position:absolute;margin-left:16.95pt;margin-top:-.15pt;width:115.6pt;height:143.3pt;z-index:251659264">
            <v:textbox>
              <w:txbxContent>
                <w:p w:rsidR="002E0824" w:rsidRDefault="002E0824" w:rsidP="002E0824">
                  <w:pPr>
                    <w:ind w:left="0" w:firstLine="0"/>
                    <w:jc w:val="center"/>
                  </w:pPr>
                  <w:r w:rsidRPr="00247048">
                    <w:rPr>
                      <w:noProof/>
                      <w:lang w:eastAsia="es-ES"/>
                    </w:rPr>
                    <w:drawing>
                      <wp:inline distT="0" distB="0" distL="0" distR="0">
                        <wp:extent cx="1238885" cy="1675130"/>
                        <wp:effectExtent l="19050" t="0" r="0" b="0"/>
                        <wp:docPr id="10" name="Imagen 4" descr="Journal of Modern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urnal of Modern Physics"/>
                                <pic:cNvPicPr>
                                  <a:picLocks noChangeAspect="1" noChangeArrowheads="1"/>
                                </pic:cNvPicPr>
                              </pic:nvPicPr>
                              <pic:blipFill>
                                <a:blip r:embed="rId5"/>
                                <a:srcRect/>
                                <a:stretch>
                                  <a:fillRect/>
                                </a:stretch>
                              </pic:blipFill>
                              <pic:spPr bwMode="auto">
                                <a:xfrm>
                                  <a:off x="0" y="0"/>
                                  <a:ext cx="1238885" cy="1675130"/>
                                </a:xfrm>
                                <a:prstGeom prst="rect">
                                  <a:avLst/>
                                </a:prstGeom>
                                <a:noFill/>
                                <a:ln w="9525">
                                  <a:noFill/>
                                  <a:miter lim="800000"/>
                                  <a:headEnd/>
                                  <a:tailEnd/>
                                </a:ln>
                              </pic:spPr>
                            </pic:pic>
                          </a:graphicData>
                        </a:graphic>
                      </wp:inline>
                    </w:drawing>
                  </w:r>
                </w:p>
              </w:txbxContent>
            </v:textbox>
            <w10:wrap type="square"/>
          </v:shape>
        </w:pict>
      </w:r>
      <w:r w:rsidR="00935848" w:rsidRPr="00935848">
        <w:rPr>
          <w:b/>
          <w:lang w:val="en-GB"/>
        </w:rPr>
        <w:t>Journal of Modern Physics</w:t>
      </w:r>
      <w:r w:rsidR="002E0824">
        <w:rPr>
          <w:b/>
          <w:lang w:val="en-GB"/>
        </w:rPr>
        <w:t xml:space="preserve"> </w:t>
      </w:r>
      <w:r w:rsidR="00935848" w:rsidRPr="00935848">
        <w:rPr>
          <w:b/>
          <w:lang w:val="en-GB"/>
        </w:rPr>
        <w:t>(JMP)</w:t>
      </w:r>
    </w:p>
    <w:p w:rsidR="00935848" w:rsidRPr="00935848" w:rsidRDefault="00935848" w:rsidP="00935848">
      <w:pPr>
        <w:spacing w:after="0" w:afterAutospacing="0"/>
        <w:ind w:left="0" w:firstLine="28"/>
        <w:rPr>
          <w:lang w:val="en-GB"/>
        </w:rPr>
      </w:pPr>
      <w:r w:rsidRPr="00935848">
        <w:rPr>
          <w:lang w:val="en-GB"/>
        </w:rPr>
        <w:t>JMP: Vol.5 No.17, November 2014</w:t>
      </w:r>
    </w:p>
    <w:p w:rsidR="002E0824" w:rsidRDefault="002E0824" w:rsidP="00935848">
      <w:pPr>
        <w:ind w:left="0" w:firstLine="29"/>
        <w:rPr>
          <w:lang w:val="en-GB"/>
        </w:rPr>
      </w:pPr>
    </w:p>
    <w:p w:rsidR="002E0824" w:rsidRDefault="00935848" w:rsidP="002E0824">
      <w:pPr>
        <w:spacing w:after="0" w:afterAutospacing="0"/>
        <w:ind w:left="0" w:firstLine="28"/>
        <w:rPr>
          <w:lang w:val="en-GB"/>
        </w:rPr>
      </w:pPr>
      <w:r w:rsidRPr="00935848">
        <w:rPr>
          <w:lang w:val="en-GB"/>
        </w:rPr>
        <w:t>Paper Title</w:t>
      </w:r>
    </w:p>
    <w:p w:rsidR="00935848" w:rsidRPr="00935848" w:rsidRDefault="00935848" w:rsidP="00935848">
      <w:pPr>
        <w:ind w:left="0" w:firstLine="29"/>
        <w:rPr>
          <w:i/>
          <w:lang w:val="en-GB"/>
        </w:rPr>
      </w:pPr>
      <w:r w:rsidRPr="00935848">
        <w:rPr>
          <w:b/>
          <w:i/>
          <w:lang w:val="en-GB"/>
        </w:rPr>
        <w:t>ON MOTION. ITS RELATIVITY AND THE EQUIVALENCE PRINCIPLE</w:t>
      </w:r>
    </w:p>
    <w:p w:rsidR="00935848" w:rsidRPr="00935848" w:rsidRDefault="00FF11D0" w:rsidP="00935848">
      <w:pPr>
        <w:spacing w:after="0" w:afterAutospacing="0"/>
        <w:ind w:left="0" w:firstLine="28"/>
        <w:rPr>
          <w:lang w:val="en-GB"/>
        </w:rPr>
      </w:pPr>
      <w:hyperlink r:id="rId6" w:anchor=".VHB0jzSG_To" w:history="1">
        <w:r w:rsidR="00935848" w:rsidRPr="00935848">
          <w:rPr>
            <w:rStyle w:val="Hipervnculo"/>
            <w:lang w:val="en-GB"/>
          </w:rPr>
          <w:t>http://www.scirp.org/Journal/PaperInformation.aspx?PaperID=51422#.VHB0jzSG_To</w:t>
        </w:r>
      </w:hyperlink>
    </w:p>
    <w:p w:rsidR="00935848" w:rsidRPr="00935848" w:rsidRDefault="00FF11D0" w:rsidP="00935848">
      <w:pPr>
        <w:spacing w:after="0" w:afterAutospacing="0"/>
        <w:ind w:left="0" w:firstLine="28"/>
        <w:rPr>
          <w:lang w:val="en-GB"/>
        </w:rPr>
      </w:pPr>
      <w:hyperlink r:id="rId7" w:history="1">
        <w:r w:rsidR="00935848" w:rsidRPr="00935848">
          <w:rPr>
            <w:rStyle w:val="Hipervnculo"/>
            <w:lang w:val="en-GB"/>
          </w:rPr>
          <w:t>http://dx.doi.org/10.4236/jmp.2014.517180</w:t>
        </w:r>
      </w:hyperlink>
    </w:p>
    <w:p w:rsidR="00935848" w:rsidRPr="00935848" w:rsidRDefault="00935848" w:rsidP="00935848">
      <w:pPr>
        <w:ind w:left="0" w:firstLine="29"/>
        <w:rPr>
          <w:lang w:val="en-GB"/>
        </w:rPr>
      </w:pPr>
    </w:p>
    <w:p w:rsidR="00935848" w:rsidRPr="00935848" w:rsidRDefault="00935848" w:rsidP="00935848">
      <w:pPr>
        <w:ind w:left="0" w:firstLine="29"/>
        <w:rPr>
          <w:lang w:val="en-GB"/>
        </w:rPr>
      </w:pPr>
      <w:r w:rsidRPr="00935848">
        <w:rPr>
          <w:lang w:val="en-GB"/>
        </w:rPr>
        <w:t xml:space="preserve">In this paper, the author tried to analyze the physical phenomenon of a rigid body subjected to multiple, non-coaxial rotations and deduce its laws of </w:t>
      </w:r>
      <w:r w:rsidR="009D332D" w:rsidRPr="00935848">
        <w:rPr>
          <w:lang w:val="en-GB"/>
        </w:rPr>
        <w:t>behaviour</w:t>
      </w:r>
      <w:r w:rsidRPr="00935848">
        <w:rPr>
          <w:lang w:val="en-GB"/>
        </w:rPr>
        <w:t xml:space="preserve"> as well as the mathematical expression. </w:t>
      </w:r>
    </w:p>
    <w:p w:rsidR="00687269" w:rsidRDefault="00935848" w:rsidP="00935848">
      <w:pPr>
        <w:ind w:left="0" w:firstLine="29"/>
        <w:rPr>
          <w:lang w:val="en-GB"/>
        </w:rPr>
      </w:pPr>
      <w:r w:rsidRPr="00935848">
        <w:rPr>
          <w:lang w:val="en-GB"/>
        </w:rPr>
        <w:t>The Equivalence Principle put forward by Albert Einstein is currently undergoing comprehensive revision to determine its degree of accuracy. Notwithstanding, this principle refers to a very specific circumstance, as is free-fall, thus i</w:t>
      </w:r>
      <w:r w:rsidR="001F6EC0">
        <w:rPr>
          <w:lang w:val="en-GB"/>
        </w:rPr>
        <w:t>n opinion of the author, it can</w:t>
      </w:r>
      <w:r w:rsidRPr="00935848">
        <w:rPr>
          <w:lang w:val="en-GB"/>
        </w:rPr>
        <w:t xml:space="preserve">not be generalised to any other movement in space. </w:t>
      </w:r>
    </w:p>
    <w:p w:rsidR="00687269" w:rsidRDefault="00935848" w:rsidP="00935848">
      <w:pPr>
        <w:ind w:left="0" w:firstLine="29"/>
        <w:rPr>
          <w:lang w:val="en-GB"/>
        </w:rPr>
      </w:pPr>
      <w:r w:rsidRPr="00935848">
        <w:rPr>
          <w:lang w:val="en-GB"/>
        </w:rPr>
        <w:t xml:space="preserve">This paper refers to the dynamic hypotheses of moving rigid bodies and a particular, structured theory that would establish how such bodies behave when subject to different actions that oblige them to make successive, non-coaxial spins. With respect to bodies subject to acceleration by rotation, we understand that there are indications to identify the prior dynamic state of the moving object and that examples of a violation of the aforementioned Equivalence Principle can be deduced thereof. </w:t>
      </w:r>
    </w:p>
    <w:p w:rsidR="00935848" w:rsidRPr="00935848" w:rsidRDefault="00935848" w:rsidP="006B31F8">
      <w:pPr>
        <w:spacing w:after="0" w:afterAutospacing="0"/>
        <w:ind w:left="0" w:firstLine="28"/>
        <w:rPr>
          <w:lang w:val="en-GB"/>
        </w:rPr>
      </w:pPr>
      <w:r w:rsidRPr="00935848">
        <w:rPr>
          <w:lang w:val="en-GB"/>
        </w:rPr>
        <w:t xml:space="preserve">Based on the </w:t>
      </w:r>
      <w:r w:rsidR="006B31F8">
        <w:rPr>
          <w:lang w:val="en-GB"/>
        </w:rPr>
        <w:t>findings of this paper and the</w:t>
      </w:r>
      <w:r w:rsidR="006B31F8" w:rsidRPr="006B31F8">
        <w:rPr>
          <w:lang w:val="en-GB"/>
        </w:rPr>
        <w:t xml:space="preserve"> </w:t>
      </w:r>
      <w:r w:rsidR="006B31F8" w:rsidRPr="00421E09">
        <w:rPr>
          <w:lang w:val="en-GB"/>
        </w:rPr>
        <w:t>Theory of Dynamic Interactions</w:t>
      </w:r>
      <w:r w:rsidR="006B31F8">
        <w:rPr>
          <w:lang w:val="en-GB"/>
        </w:rPr>
        <w:t xml:space="preserve"> </w:t>
      </w:r>
      <w:r w:rsidRPr="00935848">
        <w:rPr>
          <w:lang w:val="en-GB"/>
        </w:rPr>
        <w:t>put forward herein, the author suggest</w:t>
      </w:r>
      <w:r w:rsidR="001F6EC0">
        <w:rPr>
          <w:lang w:val="en-GB"/>
        </w:rPr>
        <w:t>s</w:t>
      </w:r>
      <w:r w:rsidRPr="00935848">
        <w:rPr>
          <w:lang w:val="en-GB"/>
        </w:rPr>
        <w:t xml:space="preserve"> that an observer can identify the prior situation of absolute rest or absolute non-rotation of a body, thus leading to the conclusion that movement does not necessarily have to be a relative concept. The foregoing leads us to propose that the Equivalence Principle is fully valid for the situation put forward by Albert Einstein, but cannot be generalised to any dynamic situation.</w:t>
      </w:r>
    </w:p>
    <w:p w:rsidR="001E0125" w:rsidRDefault="001E0125" w:rsidP="00B365B1">
      <w:pPr>
        <w:pStyle w:val="Direccin"/>
        <w:tabs>
          <w:tab w:val="left" w:pos="709"/>
          <w:tab w:val="left" w:pos="1417"/>
          <w:tab w:val="left" w:pos="2126"/>
          <w:tab w:val="left" w:pos="2835"/>
          <w:tab w:val="left" w:pos="3543"/>
          <w:tab w:val="left" w:pos="3969"/>
          <w:tab w:val="left" w:pos="4961"/>
          <w:tab w:val="left" w:pos="5669"/>
          <w:tab w:val="left" w:pos="6378"/>
          <w:tab w:val="left" w:pos="7087"/>
          <w:tab w:val="left" w:pos="7795"/>
          <w:tab w:val="left" w:pos="8504"/>
          <w:tab w:val="left" w:pos="9213"/>
        </w:tabs>
        <w:ind w:left="3969"/>
        <w:rPr>
          <w:rFonts w:ascii="Segoe UI Symbol" w:eastAsia="AppleGothic" w:hAnsi="Segoe UI Symbol" w:cs="Segoe UI Symbol"/>
          <w:color w:val="E48223"/>
          <w:spacing w:val="12"/>
          <w:sz w:val="24"/>
          <w:lang w:val="en-US"/>
        </w:rPr>
      </w:pPr>
    </w:p>
    <w:p w:rsidR="001E0125" w:rsidRDefault="001E0125" w:rsidP="00B365B1">
      <w:pPr>
        <w:pStyle w:val="Direccin"/>
        <w:tabs>
          <w:tab w:val="left" w:pos="709"/>
          <w:tab w:val="left" w:pos="1417"/>
          <w:tab w:val="left" w:pos="2126"/>
          <w:tab w:val="left" w:pos="2835"/>
          <w:tab w:val="left" w:pos="3543"/>
          <w:tab w:val="left" w:pos="3969"/>
          <w:tab w:val="left" w:pos="4961"/>
          <w:tab w:val="left" w:pos="5669"/>
          <w:tab w:val="left" w:pos="6378"/>
          <w:tab w:val="left" w:pos="7087"/>
          <w:tab w:val="left" w:pos="7795"/>
          <w:tab w:val="left" w:pos="8504"/>
          <w:tab w:val="left" w:pos="9213"/>
        </w:tabs>
        <w:ind w:left="3969"/>
        <w:rPr>
          <w:rFonts w:ascii="Segoe UI Symbol" w:eastAsia="AppleGothic" w:hAnsi="Segoe UI Symbol" w:cs="Segoe UI Symbol"/>
          <w:color w:val="E48223"/>
          <w:spacing w:val="12"/>
          <w:sz w:val="24"/>
          <w:lang w:val="en-US"/>
        </w:rPr>
      </w:pPr>
    </w:p>
    <w:p w:rsidR="00B365B1" w:rsidRDefault="00B365B1" w:rsidP="00B365B1">
      <w:pPr>
        <w:pStyle w:val="Direccin"/>
        <w:tabs>
          <w:tab w:val="left" w:pos="709"/>
          <w:tab w:val="left" w:pos="1417"/>
          <w:tab w:val="left" w:pos="2126"/>
          <w:tab w:val="left" w:pos="2835"/>
          <w:tab w:val="left" w:pos="3543"/>
          <w:tab w:val="left" w:pos="3969"/>
          <w:tab w:val="left" w:pos="4961"/>
          <w:tab w:val="left" w:pos="5669"/>
          <w:tab w:val="left" w:pos="6378"/>
          <w:tab w:val="left" w:pos="7087"/>
          <w:tab w:val="left" w:pos="7795"/>
          <w:tab w:val="left" w:pos="8504"/>
          <w:tab w:val="left" w:pos="9213"/>
        </w:tabs>
        <w:ind w:left="3969"/>
        <w:rPr>
          <w:sz w:val="24"/>
        </w:rPr>
      </w:pPr>
      <w:r w:rsidRPr="00A24A31">
        <w:rPr>
          <w:rFonts w:ascii="Segoe UI Symbol" w:eastAsia="AppleGothic" w:hAnsi="Segoe UI Symbol" w:cs="Segoe UI Symbol"/>
          <w:color w:val="E48223"/>
          <w:spacing w:val="12"/>
          <w:sz w:val="24"/>
          <w:lang w:val="en-US"/>
        </w:rPr>
        <w:t xml:space="preserve">    </w:t>
      </w:r>
      <w:r>
        <w:rPr>
          <w:rFonts w:ascii="Segoe UI Symbol" w:eastAsia="AppleGothic" w:hAnsi="Segoe UI Symbol" w:cs="Segoe UI Symbol"/>
          <w:color w:val="E48223"/>
          <w:spacing w:val="12"/>
          <w:sz w:val="24"/>
        </w:rPr>
        <w:t>☏</w:t>
      </w:r>
      <w:r>
        <w:rPr>
          <w:sz w:val="24"/>
        </w:rPr>
        <w:t xml:space="preserve"> (+34) 914 112 823     (+34) 915 614 107</w:t>
      </w:r>
    </w:p>
    <w:p w:rsidR="00B365B1" w:rsidRDefault="00B365B1" w:rsidP="00B365B1">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rPr>
      </w:pPr>
      <w:r>
        <w:rPr>
          <w:rStyle w:val="Magenta"/>
          <w:color w:val="E48223"/>
          <w:sz w:val="24"/>
        </w:rPr>
        <w:t xml:space="preserve">@    </w:t>
      </w:r>
      <w:hyperlink r:id="rId8" w:history="1">
        <w:r>
          <w:rPr>
            <w:rStyle w:val="Hipervnculo"/>
            <w:color w:val="000099"/>
            <w:sz w:val="24"/>
          </w:rPr>
          <w:t>comunicacion@advanceddynamics.net</w:t>
        </w:r>
      </w:hyperlink>
    </w:p>
    <w:p w:rsidR="00B365B1" w:rsidRDefault="00B365B1" w:rsidP="00B365B1">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rPr>
      </w:pPr>
      <w:r>
        <w:rPr>
          <w:rFonts w:ascii="Segoe UI Symbol" w:eastAsia="Zapf Dingbats" w:hAnsi="Segoe UI Symbol" w:cs="Segoe UI Symbol"/>
          <w:color w:val="E48223"/>
          <w:spacing w:val="12"/>
          <w:sz w:val="24"/>
        </w:rPr>
        <w:t>✉</w:t>
      </w:r>
      <w:r>
        <w:rPr>
          <w:sz w:val="24"/>
        </w:rPr>
        <w:t xml:space="preserve">    C. Pedro de Valdivia 31 </w:t>
      </w:r>
    </w:p>
    <w:p w:rsidR="001B302A" w:rsidRPr="00B365B1" w:rsidRDefault="00FF11D0" w:rsidP="00B365B1">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lang w:val="en-GB"/>
        </w:rPr>
      </w:pPr>
      <w:r>
        <w:rPr>
          <w:noProof/>
          <w:color w:val="333333"/>
          <w:sz w:val="28"/>
          <w:szCs w:val="28"/>
        </w:rPr>
        <w:drawing>
          <wp:anchor distT="0" distB="0" distL="114300" distR="114300" simplePos="0" relativeHeight="251661824" behindDoc="0" locked="0" layoutInCell="1" allowOverlap="1" wp14:anchorId="71691C51" wp14:editId="6870516D">
            <wp:simplePos x="0" y="0"/>
            <wp:positionH relativeFrom="page">
              <wp:posOffset>1098550</wp:posOffset>
            </wp:positionH>
            <wp:positionV relativeFrom="page">
              <wp:posOffset>8624570</wp:posOffset>
            </wp:positionV>
            <wp:extent cx="3058160" cy="1297305"/>
            <wp:effectExtent l="19050" t="0" r="889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058160" cy="1297305"/>
                    </a:xfrm>
                    <a:prstGeom prst="rect">
                      <a:avLst/>
                    </a:prstGeom>
                    <a:noFill/>
                    <a:ln w="12700" cap="flat">
                      <a:noFill/>
                      <a:miter lim="800000"/>
                      <a:headEnd/>
                      <a:tailEnd/>
                    </a:ln>
                  </pic:spPr>
                </pic:pic>
              </a:graphicData>
            </a:graphic>
          </wp:anchor>
        </w:drawing>
      </w:r>
      <w:r w:rsidR="00B365B1" w:rsidRPr="00204D6A">
        <w:rPr>
          <w:sz w:val="24"/>
          <w:lang w:val="es-ES"/>
        </w:rPr>
        <w:tab/>
      </w:r>
      <w:r w:rsidR="00B365B1" w:rsidRPr="00935848">
        <w:rPr>
          <w:sz w:val="24"/>
          <w:lang w:val="en-GB"/>
        </w:rPr>
        <w:t>28006 Madrid (</w:t>
      </w:r>
      <w:bookmarkStart w:id="0" w:name="_GoBack"/>
      <w:bookmarkEnd w:id="0"/>
      <w:r w:rsidR="00B365B1" w:rsidRPr="00935848">
        <w:rPr>
          <w:sz w:val="24"/>
          <w:lang w:val="en-GB"/>
        </w:rPr>
        <w:t>Spain)</w:t>
      </w:r>
    </w:p>
    <w:sectPr w:rsidR="001B302A" w:rsidRPr="00B365B1" w:rsidSect="001E0125">
      <w:pgSz w:w="11906" w:h="16838"/>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altName w:val="Cambria Math"/>
    <w:panose1 w:val="020B0502040204020203"/>
    <w:charset w:val="00"/>
    <w:family w:val="swiss"/>
    <w:pitch w:val="variable"/>
    <w:sig w:usb0="800001E3" w:usb1="1200FFEF" w:usb2="0064C000" w:usb3="00000000" w:csb0="00000001" w:csb1="00000000"/>
  </w:font>
  <w:font w:name="AppleGothic">
    <w:altName w:val="Times New Roman"/>
    <w:charset w:val="00"/>
    <w:family w:val="roman"/>
    <w:pitch w:val="default"/>
  </w:font>
  <w:font w:name="Zapf Dingbat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47BC5"/>
    <w:rsid w:val="00026CCC"/>
    <w:rsid w:val="00037F2B"/>
    <w:rsid w:val="00047A0E"/>
    <w:rsid w:val="000728C9"/>
    <w:rsid w:val="000856A8"/>
    <w:rsid w:val="000A5189"/>
    <w:rsid w:val="000B1B63"/>
    <w:rsid w:val="000C59B5"/>
    <w:rsid w:val="00120681"/>
    <w:rsid w:val="001256A2"/>
    <w:rsid w:val="00134E97"/>
    <w:rsid w:val="00141F6F"/>
    <w:rsid w:val="001608A7"/>
    <w:rsid w:val="001710E3"/>
    <w:rsid w:val="00177296"/>
    <w:rsid w:val="001A50F8"/>
    <w:rsid w:val="001A6EBA"/>
    <w:rsid w:val="001B302A"/>
    <w:rsid w:val="001B7410"/>
    <w:rsid w:val="001C2417"/>
    <w:rsid w:val="001D565C"/>
    <w:rsid w:val="001E0125"/>
    <w:rsid w:val="001F6EC0"/>
    <w:rsid w:val="00204D6A"/>
    <w:rsid w:val="0022507E"/>
    <w:rsid w:val="0022756D"/>
    <w:rsid w:val="00270A78"/>
    <w:rsid w:val="002D798F"/>
    <w:rsid w:val="002E049D"/>
    <w:rsid w:val="002E0824"/>
    <w:rsid w:val="002F1C04"/>
    <w:rsid w:val="002F7BD2"/>
    <w:rsid w:val="0031678B"/>
    <w:rsid w:val="00327016"/>
    <w:rsid w:val="00327CA5"/>
    <w:rsid w:val="00337CBD"/>
    <w:rsid w:val="0034003D"/>
    <w:rsid w:val="00342FCB"/>
    <w:rsid w:val="00345E89"/>
    <w:rsid w:val="003467B2"/>
    <w:rsid w:val="00353A36"/>
    <w:rsid w:val="00354457"/>
    <w:rsid w:val="0035538D"/>
    <w:rsid w:val="003628A7"/>
    <w:rsid w:val="0037155A"/>
    <w:rsid w:val="00383098"/>
    <w:rsid w:val="003958DA"/>
    <w:rsid w:val="003A6E04"/>
    <w:rsid w:val="003B364B"/>
    <w:rsid w:val="003C018A"/>
    <w:rsid w:val="003C52AF"/>
    <w:rsid w:val="003D20F4"/>
    <w:rsid w:val="00421E09"/>
    <w:rsid w:val="004324E5"/>
    <w:rsid w:val="004352DC"/>
    <w:rsid w:val="004417FD"/>
    <w:rsid w:val="0044218D"/>
    <w:rsid w:val="00447BC5"/>
    <w:rsid w:val="00450891"/>
    <w:rsid w:val="00464795"/>
    <w:rsid w:val="00464C1B"/>
    <w:rsid w:val="004669C9"/>
    <w:rsid w:val="00471FA4"/>
    <w:rsid w:val="00476642"/>
    <w:rsid w:val="00495273"/>
    <w:rsid w:val="004963E8"/>
    <w:rsid w:val="004A08D1"/>
    <w:rsid w:val="004A18C5"/>
    <w:rsid w:val="004B720C"/>
    <w:rsid w:val="004C6656"/>
    <w:rsid w:val="004D4451"/>
    <w:rsid w:val="004D51DB"/>
    <w:rsid w:val="004E1DE6"/>
    <w:rsid w:val="004E2270"/>
    <w:rsid w:val="004F2EC3"/>
    <w:rsid w:val="0050165A"/>
    <w:rsid w:val="00513EF9"/>
    <w:rsid w:val="00551AA2"/>
    <w:rsid w:val="005530B9"/>
    <w:rsid w:val="00554895"/>
    <w:rsid w:val="00583EC6"/>
    <w:rsid w:val="005A03C4"/>
    <w:rsid w:val="005A7D4D"/>
    <w:rsid w:val="005B120B"/>
    <w:rsid w:val="005D6908"/>
    <w:rsid w:val="005E0E71"/>
    <w:rsid w:val="005F2826"/>
    <w:rsid w:val="005F6309"/>
    <w:rsid w:val="006048C1"/>
    <w:rsid w:val="00605031"/>
    <w:rsid w:val="00642C6A"/>
    <w:rsid w:val="006507E2"/>
    <w:rsid w:val="00664B7E"/>
    <w:rsid w:val="00665CE1"/>
    <w:rsid w:val="006726EE"/>
    <w:rsid w:val="00687269"/>
    <w:rsid w:val="006A5903"/>
    <w:rsid w:val="006B31F8"/>
    <w:rsid w:val="006B35D3"/>
    <w:rsid w:val="006F0ED5"/>
    <w:rsid w:val="00721A06"/>
    <w:rsid w:val="007705D4"/>
    <w:rsid w:val="00774BA2"/>
    <w:rsid w:val="007B6DCB"/>
    <w:rsid w:val="007B77DA"/>
    <w:rsid w:val="007E408F"/>
    <w:rsid w:val="00806888"/>
    <w:rsid w:val="008225B6"/>
    <w:rsid w:val="008258D5"/>
    <w:rsid w:val="00826DA2"/>
    <w:rsid w:val="00852CD9"/>
    <w:rsid w:val="0087414A"/>
    <w:rsid w:val="008764C6"/>
    <w:rsid w:val="00891718"/>
    <w:rsid w:val="00891C22"/>
    <w:rsid w:val="008C05C1"/>
    <w:rsid w:val="0093096C"/>
    <w:rsid w:val="00935848"/>
    <w:rsid w:val="00941048"/>
    <w:rsid w:val="0095598A"/>
    <w:rsid w:val="00956301"/>
    <w:rsid w:val="009A1AF7"/>
    <w:rsid w:val="009B2E52"/>
    <w:rsid w:val="009D332D"/>
    <w:rsid w:val="009E67AC"/>
    <w:rsid w:val="00A115F6"/>
    <w:rsid w:val="00A23BAE"/>
    <w:rsid w:val="00A24A31"/>
    <w:rsid w:val="00A446E7"/>
    <w:rsid w:val="00A563B3"/>
    <w:rsid w:val="00A86F9F"/>
    <w:rsid w:val="00AA1FE0"/>
    <w:rsid w:val="00AA4BA0"/>
    <w:rsid w:val="00AA5C4D"/>
    <w:rsid w:val="00AD0D86"/>
    <w:rsid w:val="00AD3BF2"/>
    <w:rsid w:val="00AF1ECE"/>
    <w:rsid w:val="00B24011"/>
    <w:rsid w:val="00B301A0"/>
    <w:rsid w:val="00B365B1"/>
    <w:rsid w:val="00B453BB"/>
    <w:rsid w:val="00B500ED"/>
    <w:rsid w:val="00B74818"/>
    <w:rsid w:val="00B87993"/>
    <w:rsid w:val="00B90761"/>
    <w:rsid w:val="00B91295"/>
    <w:rsid w:val="00BB46B2"/>
    <w:rsid w:val="00BB7AD2"/>
    <w:rsid w:val="00BC2D9E"/>
    <w:rsid w:val="00BE1D82"/>
    <w:rsid w:val="00BE6090"/>
    <w:rsid w:val="00BF4B67"/>
    <w:rsid w:val="00BF7280"/>
    <w:rsid w:val="00C022F2"/>
    <w:rsid w:val="00C14715"/>
    <w:rsid w:val="00C16CE6"/>
    <w:rsid w:val="00C340B3"/>
    <w:rsid w:val="00C45FBE"/>
    <w:rsid w:val="00C466DC"/>
    <w:rsid w:val="00C507F5"/>
    <w:rsid w:val="00C6347D"/>
    <w:rsid w:val="00C6405A"/>
    <w:rsid w:val="00C72443"/>
    <w:rsid w:val="00C83ACB"/>
    <w:rsid w:val="00C94F76"/>
    <w:rsid w:val="00CA38E4"/>
    <w:rsid w:val="00CB4360"/>
    <w:rsid w:val="00CB677F"/>
    <w:rsid w:val="00CC3369"/>
    <w:rsid w:val="00CE2F23"/>
    <w:rsid w:val="00CE59AF"/>
    <w:rsid w:val="00CE7B55"/>
    <w:rsid w:val="00D2593D"/>
    <w:rsid w:val="00D27C5B"/>
    <w:rsid w:val="00D51240"/>
    <w:rsid w:val="00D67DFC"/>
    <w:rsid w:val="00D9256E"/>
    <w:rsid w:val="00D971A5"/>
    <w:rsid w:val="00DA262A"/>
    <w:rsid w:val="00DA574A"/>
    <w:rsid w:val="00DC018E"/>
    <w:rsid w:val="00DE788F"/>
    <w:rsid w:val="00DF1DC0"/>
    <w:rsid w:val="00DF6732"/>
    <w:rsid w:val="00DF791C"/>
    <w:rsid w:val="00E02D58"/>
    <w:rsid w:val="00E32353"/>
    <w:rsid w:val="00E66E22"/>
    <w:rsid w:val="00EB237E"/>
    <w:rsid w:val="00EB6B00"/>
    <w:rsid w:val="00EC72ED"/>
    <w:rsid w:val="00EE41C0"/>
    <w:rsid w:val="00F10C91"/>
    <w:rsid w:val="00F437FE"/>
    <w:rsid w:val="00F456AA"/>
    <w:rsid w:val="00F52EB7"/>
    <w:rsid w:val="00F631E2"/>
    <w:rsid w:val="00F70EEB"/>
    <w:rsid w:val="00F727DD"/>
    <w:rsid w:val="00F80688"/>
    <w:rsid w:val="00F96B26"/>
    <w:rsid w:val="00FF11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241851C-7F54-48A4-9066-11474CC1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48"/>
    <w:pPr>
      <w:spacing w:after="100" w:afterAutospacing="1" w:line="240" w:lineRule="auto"/>
      <w:ind w:left="964" w:hanging="397"/>
      <w:jc w:val="both"/>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35848"/>
    <w:rPr>
      <w:color w:val="0563C1" w:themeColor="hyperlink"/>
      <w:u w:val="single"/>
    </w:rPr>
  </w:style>
  <w:style w:type="paragraph" w:customStyle="1" w:styleId="Direccin">
    <w:name w:val="Dirección"/>
    <w:rsid w:val="00935848"/>
    <w:pPr>
      <w:tabs>
        <w:tab w:val="left" w:pos="505"/>
      </w:tabs>
      <w:spacing w:after="0" w:line="240" w:lineRule="auto"/>
    </w:pPr>
    <w:rPr>
      <w:rFonts w:ascii="Helvetica Neue" w:eastAsia="ヒラギノ角ゴ Pro W3" w:hAnsi="Helvetica Neue" w:cs="Times New Roman"/>
      <w:color w:val="000000"/>
      <w:sz w:val="16"/>
      <w:szCs w:val="20"/>
      <w:lang w:val="es-ES_tradnl" w:eastAsia="es-ES"/>
    </w:rPr>
  </w:style>
  <w:style w:type="character" w:customStyle="1" w:styleId="Magenta">
    <w:name w:val="Magenta"/>
    <w:rsid w:val="00935848"/>
    <w:rPr>
      <w:color w:val="CF0063"/>
    </w:rPr>
  </w:style>
  <w:style w:type="character" w:styleId="Refdecomentario">
    <w:name w:val="annotation reference"/>
    <w:basedOn w:val="Fuentedeprrafopredeter"/>
    <w:uiPriority w:val="99"/>
    <w:semiHidden/>
    <w:unhideWhenUsed/>
    <w:rsid w:val="00935848"/>
    <w:rPr>
      <w:sz w:val="16"/>
      <w:szCs w:val="16"/>
    </w:rPr>
  </w:style>
  <w:style w:type="paragraph" w:styleId="Textocomentario">
    <w:name w:val="annotation text"/>
    <w:basedOn w:val="Normal"/>
    <w:link w:val="TextocomentarioCar"/>
    <w:uiPriority w:val="99"/>
    <w:semiHidden/>
    <w:unhideWhenUsed/>
    <w:rsid w:val="00935848"/>
    <w:rPr>
      <w:sz w:val="20"/>
      <w:szCs w:val="20"/>
    </w:rPr>
  </w:style>
  <w:style w:type="character" w:customStyle="1" w:styleId="TextocomentarioCar">
    <w:name w:val="Texto comentario Car"/>
    <w:basedOn w:val="Fuentedeprrafopredeter"/>
    <w:link w:val="Textocomentario"/>
    <w:uiPriority w:val="99"/>
    <w:semiHidden/>
    <w:rsid w:val="00935848"/>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935848"/>
    <w:rPr>
      <w:b/>
      <w:bCs/>
    </w:rPr>
  </w:style>
  <w:style w:type="character" w:customStyle="1" w:styleId="AsuntodelcomentarioCar">
    <w:name w:val="Asunto del comentario Car"/>
    <w:basedOn w:val="TextocomentarioCar"/>
    <w:link w:val="Asuntodelcomentario"/>
    <w:uiPriority w:val="99"/>
    <w:semiHidden/>
    <w:rsid w:val="00935848"/>
    <w:rPr>
      <w:rFonts w:ascii="Arial" w:hAnsi="Arial" w:cs="Arial"/>
      <w:b/>
      <w:bCs/>
      <w:sz w:val="20"/>
      <w:szCs w:val="20"/>
    </w:rPr>
  </w:style>
  <w:style w:type="paragraph" w:styleId="Textodeglobo">
    <w:name w:val="Balloon Text"/>
    <w:basedOn w:val="Normal"/>
    <w:link w:val="TextodegloboCar"/>
    <w:uiPriority w:val="99"/>
    <w:semiHidden/>
    <w:unhideWhenUsed/>
    <w:rsid w:val="0093584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onzalezmartinez@gmail.com" TargetMode="External"/><Relationship Id="rId3" Type="http://schemas.openxmlformats.org/officeDocument/2006/relationships/webSettings" Target="webSettings.xml"/><Relationship Id="rId7" Type="http://schemas.openxmlformats.org/officeDocument/2006/relationships/hyperlink" Target="http://dx.doi.org/10.4236/jmp.2014.517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rp.org/Journal/PaperInformation.aspx?PaperID=51422"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327</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Dalby</dc:creator>
  <cp:keywords/>
  <dc:description/>
  <cp:lastModifiedBy>Sonia Blázquez Rodríguez</cp:lastModifiedBy>
  <cp:revision>29</cp:revision>
  <dcterms:created xsi:type="dcterms:W3CDTF">2014-11-24T12:06:00Z</dcterms:created>
  <dcterms:modified xsi:type="dcterms:W3CDTF">2015-01-26T11:52:00Z</dcterms:modified>
</cp:coreProperties>
</file>